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55" w:rsidRPr="00B51337" w:rsidRDefault="00954D51" w:rsidP="00FF275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51337">
        <w:rPr>
          <w:rFonts w:ascii="Arial" w:hAnsi="Arial" w:cs="Arial"/>
          <w:b/>
          <w:sz w:val="24"/>
          <w:szCs w:val="24"/>
        </w:rPr>
        <w:t>A DISAUTONOMIA CARDÍACA EM PACIENTES COM SÍNDROME METABÓLICA: UMA REVISÃO SISTEMÁTICA</w:t>
      </w:r>
    </w:p>
    <w:p w:rsidR="00FF2755" w:rsidRDefault="0060331F" w:rsidP="00954D5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Costa, AFO; Carneiro TTM;</w:t>
      </w:r>
      <w:r w:rsidR="00FF2755">
        <w:rPr>
          <w:rFonts w:ascii="Arial" w:hAnsi="Arial" w:cs="Arial"/>
          <w:sz w:val="24"/>
          <w:szCs w:val="24"/>
        </w:rPr>
        <w:t xml:space="preserve"> Junior, ASM;</w:t>
      </w:r>
      <w:r>
        <w:rPr>
          <w:rFonts w:ascii="Arial" w:hAnsi="Arial" w:cs="Arial"/>
          <w:sz w:val="24"/>
          <w:szCs w:val="24"/>
        </w:rPr>
        <w:t xml:space="preserve"> Neto, LG; Lopes, HLNC; </w:t>
      </w:r>
      <w:proofErr w:type="spellStart"/>
      <w:r>
        <w:rPr>
          <w:rFonts w:ascii="Arial" w:hAnsi="Arial" w:cs="Arial"/>
          <w:sz w:val="24"/>
          <w:szCs w:val="24"/>
        </w:rPr>
        <w:t>Afiune</w:t>
      </w:r>
      <w:proofErr w:type="spellEnd"/>
      <w:r>
        <w:rPr>
          <w:rFonts w:ascii="Arial" w:hAnsi="Arial" w:cs="Arial"/>
          <w:sz w:val="24"/>
          <w:szCs w:val="24"/>
        </w:rPr>
        <w:t xml:space="preserve">, AP; Farinha </w:t>
      </w:r>
    </w:p>
    <w:p w:rsidR="00954D51" w:rsidRPr="00B51337" w:rsidRDefault="00954D51" w:rsidP="00954D5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51337">
        <w:rPr>
          <w:rFonts w:ascii="Arial" w:hAnsi="Arial" w:cs="Arial"/>
          <w:sz w:val="24"/>
          <w:szCs w:val="24"/>
        </w:rPr>
        <w:t>Pontifícia Universidade Católica de Goiás – Departamento de Medicina - Goiânia. Brasil.</w:t>
      </w:r>
    </w:p>
    <w:p w:rsidR="00954D51" w:rsidRPr="00FF2755" w:rsidRDefault="00954D51" w:rsidP="00FF2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Objetivo</w:t>
      </w:r>
      <w:r w:rsidR="00FF2755" w:rsidRPr="00FF2755">
        <w:rPr>
          <w:rFonts w:ascii="Times New Roman" w:hAnsi="Times New Roman" w:cs="Times New Roman"/>
          <w:sz w:val="24"/>
          <w:szCs w:val="24"/>
        </w:rPr>
        <w:t>:</w:t>
      </w:r>
      <w:r w:rsidRPr="00FF2755">
        <w:rPr>
          <w:rFonts w:ascii="Times New Roman" w:hAnsi="Times New Roman" w:cs="Times New Roman"/>
          <w:sz w:val="24"/>
          <w:szCs w:val="24"/>
        </w:rPr>
        <w:t xml:space="preserve"> </w:t>
      </w:r>
      <w:r w:rsidR="00FF2755" w:rsidRPr="00FF2755">
        <w:rPr>
          <w:rFonts w:ascii="Times New Roman" w:hAnsi="Times New Roman" w:cs="Times New Roman"/>
          <w:sz w:val="24"/>
          <w:szCs w:val="24"/>
        </w:rPr>
        <w:t>r</w:t>
      </w:r>
      <w:r w:rsidRPr="00FF2755">
        <w:rPr>
          <w:rFonts w:ascii="Times New Roman" w:hAnsi="Times New Roman" w:cs="Times New Roman"/>
          <w:sz w:val="24"/>
          <w:szCs w:val="24"/>
        </w:rPr>
        <w:t xml:space="preserve">evisar sistematicamente a correlação entre a VFC e a SM. </w:t>
      </w:r>
      <w:r w:rsidRPr="00FF2755">
        <w:rPr>
          <w:rFonts w:ascii="Times New Roman" w:hAnsi="Times New Roman" w:cs="Times New Roman"/>
          <w:b/>
          <w:i/>
          <w:iCs/>
          <w:sz w:val="24"/>
          <w:szCs w:val="24"/>
        </w:rPr>
        <w:t>Métodos:</w:t>
      </w:r>
      <w:r w:rsidRPr="00FF2755">
        <w:rPr>
          <w:rFonts w:ascii="Times New Roman" w:hAnsi="Times New Roman" w:cs="Times New Roman"/>
          <w:sz w:val="24"/>
          <w:szCs w:val="24"/>
        </w:rPr>
        <w:t xml:space="preserve"> Busca sistemática em bases de dados </w:t>
      </w:r>
      <w:proofErr w:type="spellStart"/>
      <w:r w:rsidRPr="00FF2755">
        <w:rPr>
          <w:rFonts w:ascii="Times New Roman" w:hAnsi="Times New Roman" w:cs="Times New Roman"/>
          <w:sz w:val="24"/>
          <w:szCs w:val="24"/>
        </w:rPr>
        <w:t>onlines</w:t>
      </w:r>
      <w:proofErr w:type="spellEnd"/>
      <w:r w:rsidRPr="00FF2755">
        <w:rPr>
          <w:rFonts w:ascii="Times New Roman" w:hAnsi="Times New Roman" w:cs="Times New Roman"/>
          <w:sz w:val="24"/>
          <w:szCs w:val="24"/>
        </w:rPr>
        <w:t xml:space="preserve">. Seriam incluídos os que examinassem grupo controle da população geral, acima de 18 anos, e se utilizassem critérios diagnósticos para SM o da Organização Mundial de Saúde (OMS) ou </w:t>
      </w:r>
      <w:proofErr w:type="spellStart"/>
      <w:r w:rsidRPr="00FF275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FF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55">
        <w:rPr>
          <w:rFonts w:ascii="Times New Roman" w:hAnsi="Times New Roman" w:cs="Times New Roman"/>
          <w:sz w:val="24"/>
          <w:szCs w:val="24"/>
        </w:rPr>
        <w:t>Cholesterol</w:t>
      </w:r>
      <w:proofErr w:type="spellEnd"/>
      <w:r w:rsidRPr="00FF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5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F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55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FF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55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FF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55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FF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55">
        <w:rPr>
          <w:rFonts w:ascii="Times New Roman" w:hAnsi="Times New Roman" w:cs="Times New Roman"/>
          <w:sz w:val="24"/>
          <w:szCs w:val="24"/>
        </w:rPr>
        <w:t>Panel</w:t>
      </w:r>
      <w:proofErr w:type="spellEnd"/>
      <w:r w:rsidRPr="00FF2755">
        <w:rPr>
          <w:rFonts w:ascii="Times New Roman" w:hAnsi="Times New Roman" w:cs="Times New Roman"/>
          <w:sz w:val="24"/>
          <w:szCs w:val="24"/>
        </w:rPr>
        <w:t xml:space="preserve"> III (NCEAP-ATPII) ou pela </w:t>
      </w:r>
      <w:proofErr w:type="spellStart"/>
      <w:r w:rsidRPr="00FF275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F2755">
        <w:rPr>
          <w:rFonts w:ascii="Times New Roman" w:hAnsi="Times New Roman" w:cs="Times New Roman"/>
          <w:sz w:val="24"/>
          <w:szCs w:val="24"/>
        </w:rPr>
        <w:t xml:space="preserve"> Diabetes Federation (IDF). </w:t>
      </w:r>
      <w:r w:rsidRPr="00FF2755">
        <w:rPr>
          <w:rFonts w:ascii="Times New Roman" w:hAnsi="Times New Roman" w:cs="Times New Roman"/>
          <w:b/>
          <w:i/>
          <w:iCs/>
          <w:sz w:val="24"/>
          <w:szCs w:val="24"/>
        </w:rPr>
        <w:t>Resultados:</w:t>
      </w:r>
      <w:r w:rsidRPr="00FF2755">
        <w:rPr>
          <w:rFonts w:ascii="Times New Roman" w:hAnsi="Times New Roman" w:cs="Times New Roman"/>
          <w:sz w:val="24"/>
          <w:szCs w:val="24"/>
        </w:rPr>
        <w:t xml:space="preserve"> Após análises, 08 estudos foram incluídos nesta revisão. A VFC encontrou-se reduzida, com maior evidência na população feminina, e com acentuação da diminuição quanto mais fatores da SM estivessem presentes. Foi encontrado também que a resistência à insulina está diretamente associada a </w:t>
      </w:r>
      <w:proofErr w:type="spellStart"/>
      <w:r w:rsidRPr="00FF2755">
        <w:rPr>
          <w:rFonts w:ascii="Times New Roman" w:hAnsi="Times New Roman" w:cs="Times New Roman"/>
          <w:sz w:val="24"/>
          <w:szCs w:val="24"/>
        </w:rPr>
        <w:t>disautonomia</w:t>
      </w:r>
      <w:proofErr w:type="spellEnd"/>
      <w:r w:rsidRPr="00FF2755">
        <w:rPr>
          <w:rFonts w:ascii="Times New Roman" w:hAnsi="Times New Roman" w:cs="Times New Roman"/>
          <w:sz w:val="24"/>
          <w:szCs w:val="24"/>
        </w:rPr>
        <w:t xml:space="preserve">. </w:t>
      </w:r>
      <w:r w:rsidRPr="00FF2755">
        <w:rPr>
          <w:rFonts w:ascii="Times New Roman" w:hAnsi="Times New Roman" w:cs="Times New Roman"/>
          <w:b/>
          <w:i/>
          <w:iCs/>
          <w:sz w:val="24"/>
          <w:szCs w:val="24"/>
        </w:rPr>
        <w:t>Conclusão:</w:t>
      </w:r>
      <w:r w:rsidRPr="00FF2755">
        <w:rPr>
          <w:rFonts w:ascii="Times New Roman" w:hAnsi="Times New Roman" w:cs="Times New Roman"/>
          <w:sz w:val="24"/>
          <w:szCs w:val="24"/>
        </w:rPr>
        <w:t xml:space="preserve"> A VFC é alterada principalmente nas mulheres com SM, e quanto mais </w:t>
      </w:r>
      <w:proofErr w:type="gramStart"/>
      <w:r w:rsidRPr="00FF2755">
        <w:rPr>
          <w:rFonts w:ascii="Times New Roman" w:hAnsi="Times New Roman" w:cs="Times New Roman"/>
          <w:sz w:val="24"/>
          <w:szCs w:val="24"/>
        </w:rPr>
        <w:t>critérios presentes maior</w:t>
      </w:r>
      <w:proofErr w:type="gramEnd"/>
      <w:r w:rsidRPr="00FF2755">
        <w:rPr>
          <w:rFonts w:ascii="Times New Roman" w:hAnsi="Times New Roman" w:cs="Times New Roman"/>
          <w:sz w:val="24"/>
          <w:szCs w:val="24"/>
        </w:rPr>
        <w:t xml:space="preserve"> será tal </w:t>
      </w:r>
      <w:proofErr w:type="spellStart"/>
      <w:r w:rsidRPr="00FF2755">
        <w:rPr>
          <w:rFonts w:ascii="Times New Roman" w:hAnsi="Times New Roman" w:cs="Times New Roman"/>
          <w:sz w:val="24"/>
          <w:szCs w:val="24"/>
        </w:rPr>
        <w:t>disautonomia</w:t>
      </w:r>
      <w:proofErr w:type="spellEnd"/>
      <w:r w:rsidRPr="00FF2755">
        <w:rPr>
          <w:rFonts w:ascii="Times New Roman" w:hAnsi="Times New Roman" w:cs="Times New Roman"/>
          <w:sz w:val="24"/>
          <w:szCs w:val="24"/>
        </w:rPr>
        <w:t>. Portanto, estudos futuros devem seguir protocolos consistentes ao analisarem a VFC e SM.</w:t>
      </w:r>
    </w:p>
    <w:p w:rsidR="00954D51" w:rsidRDefault="00954D51">
      <w:bookmarkStart w:id="0" w:name="_GoBack"/>
      <w:bookmarkEnd w:id="0"/>
    </w:p>
    <w:sectPr w:rsidR="00954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51"/>
    <w:rsid w:val="0060331F"/>
    <w:rsid w:val="009300A5"/>
    <w:rsid w:val="00954D5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9296"/>
  <w15:chartTrackingRefBased/>
  <w15:docId w15:val="{BD25BC32-1FC6-4273-9AD2-8D89C48B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4D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Antônio</dc:creator>
  <cp:keywords/>
  <dc:description/>
  <cp:lastModifiedBy>Lafaiete Neto</cp:lastModifiedBy>
  <cp:revision>2</cp:revision>
  <dcterms:created xsi:type="dcterms:W3CDTF">2020-04-30T22:55:00Z</dcterms:created>
  <dcterms:modified xsi:type="dcterms:W3CDTF">2020-04-30T22:55:00Z</dcterms:modified>
</cp:coreProperties>
</file>